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A8D3" w14:textId="77777777" w:rsidR="005768E5" w:rsidRDefault="005768E5" w:rsidP="0021055B">
      <w:pPr>
        <w:ind w:firstLine="0"/>
        <w:rPr>
          <w:rFonts w:cs="Times New Roman"/>
          <w:szCs w:val="24"/>
        </w:rPr>
      </w:pPr>
    </w:p>
    <w:p w14:paraId="634D970B" w14:textId="47E53803" w:rsidR="00A94D73" w:rsidRDefault="00CF59A8" w:rsidP="00992B26">
      <w:pPr>
        <w:pStyle w:val="Title"/>
        <w:pBdr>
          <w:bottom w:val="none" w:sz="0" w:space="0" w:color="auto"/>
        </w:pBdr>
        <w:jc w:val="center"/>
        <w:rPr>
          <w:rFonts w:ascii="Times New Roman" w:hAnsi="Times New Roman" w:cs="Times New Roman"/>
          <w:color w:val="auto"/>
          <w:sz w:val="44"/>
          <w:szCs w:val="44"/>
        </w:rPr>
      </w:pPr>
      <w:r>
        <w:rPr>
          <w:rFonts w:ascii="Times New Roman" w:hAnsi="Times New Roman" w:cs="Times New Roman"/>
          <w:color w:val="auto"/>
          <w:sz w:val="44"/>
          <w:szCs w:val="44"/>
        </w:rPr>
        <w:t xml:space="preserve">Complexity in Quantum Processes </w:t>
      </w:r>
      <w:r w:rsidR="0049578F">
        <w:rPr>
          <w:rFonts w:ascii="Times New Roman" w:hAnsi="Times New Roman" w:cs="Times New Roman"/>
          <w:color w:val="auto"/>
          <w:sz w:val="44"/>
          <w:szCs w:val="44"/>
        </w:rPr>
        <w:t xml:space="preserve">&amp; </w:t>
      </w:r>
      <w:r w:rsidR="002866B1">
        <w:rPr>
          <w:rFonts w:ascii="Times New Roman" w:hAnsi="Times New Roman" w:cs="Times New Roman"/>
          <w:color w:val="auto"/>
          <w:sz w:val="44"/>
          <w:szCs w:val="44"/>
        </w:rPr>
        <w:t>Reservoir Computing</w:t>
      </w:r>
    </w:p>
    <w:p w14:paraId="47DCAA9E" w14:textId="5D124D0A" w:rsidR="008D0861" w:rsidRDefault="0049578F" w:rsidP="008D0861">
      <w:pPr>
        <w:jc w:val="center"/>
      </w:pPr>
      <w:r>
        <w:t>Derek D. C. Chang</w:t>
      </w:r>
      <w:r w:rsidR="008D0861" w:rsidRPr="008D0861">
        <w:rPr>
          <w:vertAlign w:val="superscript"/>
        </w:rPr>
        <w:t>1</w:t>
      </w:r>
      <w:r w:rsidR="001E4437">
        <w:rPr>
          <w:vertAlign w:val="superscript"/>
        </w:rPr>
        <w:t>,2</w:t>
      </w:r>
      <w:r w:rsidR="008D0861">
        <w:t xml:space="preserve">, </w:t>
      </w:r>
      <w:r>
        <w:t>Graeme D. Berk</w:t>
      </w:r>
      <w:r w:rsidR="001E4437">
        <w:rPr>
          <w:vertAlign w:val="superscript"/>
        </w:rPr>
        <w:t>1,2</w:t>
      </w:r>
      <w:r w:rsidR="008D0861">
        <w:t xml:space="preserve">, and </w:t>
      </w:r>
      <w:r>
        <w:t>Mile Gu</w:t>
      </w:r>
      <w:r w:rsidR="008D0861" w:rsidRPr="008D0861">
        <w:rPr>
          <w:vertAlign w:val="superscript"/>
        </w:rPr>
        <w:t>1</w:t>
      </w:r>
      <w:r w:rsidR="001E4437">
        <w:rPr>
          <w:vertAlign w:val="superscript"/>
        </w:rPr>
        <w:t>,2,3</w:t>
      </w:r>
    </w:p>
    <w:p w14:paraId="0EA97D2D" w14:textId="6CDD995E" w:rsidR="008D0861" w:rsidRDefault="008D0861" w:rsidP="008D0861">
      <w:pPr>
        <w:jc w:val="center"/>
      </w:pPr>
      <w:r w:rsidRPr="008D0861">
        <w:rPr>
          <w:vertAlign w:val="superscript"/>
        </w:rPr>
        <w:t>1</w:t>
      </w:r>
      <w:r w:rsidR="001E4437">
        <w:t>Nanyang Quantum Hub, School of Physical and Mathematical Sciences, Nanyang Technological University, Singapore 639673.</w:t>
      </w:r>
    </w:p>
    <w:p w14:paraId="37051E64" w14:textId="771DC60B" w:rsidR="008D0861" w:rsidRDefault="008D0861" w:rsidP="008D0861">
      <w:pPr>
        <w:jc w:val="center"/>
      </w:pPr>
      <w:r w:rsidRPr="008D0861">
        <w:rPr>
          <w:vertAlign w:val="superscript"/>
        </w:rPr>
        <w:t>2</w:t>
      </w:r>
      <w:r w:rsidR="001E4437">
        <w:t>Centre for Quantum Technologies, National University of Singapore, Singapore 117543.</w:t>
      </w:r>
    </w:p>
    <w:p w14:paraId="7E49E366" w14:textId="1D447519" w:rsidR="001E4437" w:rsidRPr="008D0861" w:rsidRDefault="001E4437" w:rsidP="008D0861">
      <w:pPr>
        <w:jc w:val="center"/>
      </w:pPr>
      <w:r>
        <w:rPr>
          <w:vertAlign w:val="superscript"/>
        </w:rPr>
        <w:t>3</w:t>
      </w:r>
      <w:r>
        <w:t>MajuLab, CNRS-UNS-NUS-NTU International Joint Research Unit, UMI 3654, Singapore 117543.</w:t>
      </w:r>
    </w:p>
    <w:p w14:paraId="506457F5" w14:textId="77777777" w:rsidR="007054B2" w:rsidRPr="007054B2" w:rsidRDefault="007054B2" w:rsidP="007054B2"/>
    <w:p w14:paraId="7FFC520C" w14:textId="585F5A8B" w:rsidR="005768E5" w:rsidRPr="00570019" w:rsidRDefault="005768E5" w:rsidP="005F47EA">
      <w:pPr>
        <w:ind w:firstLine="0"/>
        <w:jc w:val="center"/>
        <w:rPr>
          <w:rFonts w:cs="Times New Roman"/>
          <w:bCs/>
          <w:i/>
          <w:szCs w:val="24"/>
        </w:rPr>
      </w:pPr>
      <w:r w:rsidRPr="00570019">
        <w:rPr>
          <w:rFonts w:cs="Times New Roman"/>
          <w:bCs/>
          <w:i/>
          <w:szCs w:val="24"/>
        </w:rPr>
        <w:t>Keywords:</w:t>
      </w:r>
      <w:r w:rsidR="00F45C12" w:rsidRPr="00570019">
        <w:rPr>
          <w:rFonts w:cs="Times New Roman"/>
          <w:bCs/>
          <w:i/>
          <w:szCs w:val="24"/>
        </w:rPr>
        <w:t xml:space="preserve"> </w:t>
      </w:r>
      <w:r w:rsidR="001E4437">
        <w:rPr>
          <w:rFonts w:cs="Times New Roman"/>
          <w:bCs/>
          <w:i/>
          <w:szCs w:val="24"/>
        </w:rPr>
        <w:t xml:space="preserve">Quantum </w:t>
      </w:r>
      <w:r w:rsidR="00FC5F17">
        <w:rPr>
          <w:rFonts w:cs="Times New Roman"/>
          <w:bCs/>
          <w:i/>
          <w:szCs w:val="24"/>
        </w:rPr>
        <w:t>n</w:t>
      </w:r>
      <w:r w:rsidR="00FA4194">
        <w:rPr>
          <w:rFonts w:cs="Times New Roman"/>
          <w:bCs/>
          <w:i/>
          <w:szCs w:val="24"/>
        </w:rPr>
        <w:t>on-Markovianity, Quantum</w:t>
      </w:r>
      <w:r w:rsidR="001C3150">
        <w:rPr>
          <w:rFonts w:cs="Times New Roman"/>
          <w:bCs/>
          <w:i/>
          <w:szCs w:val="24"/>
        </w:rPr>
        <w:t xml:space="preserve"> C</w:t>
      </w:r>
      <w:r w:rsidR="00FA4194">
        <w:rPr>
          <w:rFonts w:cs="Times New Roman"/>
          <w:bCs/>
          <w:i/>
          <w:szCs w:val="24"/>
        </w:rPr>
        <w:t xml:space="preserve">haos, Quantum </w:t>
      </w:r>
      <w:r w:rsidR="001C3150">
        <w:rPr>
          <w:rFonts w:cs="Times New Roman"/>
          <w:bCs/>
          <w:i/>
          <w:szCs w:val="24"/>
        </w:rPr>
        <w:t>Machine Learning</w:t>
      </w:r>
      <w:r w:rsidR="001E4437">
        <w:rPr>
          <w:rFonts w:cs="Times New Roman"/>
          <w:bCs/>
          <w:i/>
          <w:szCs w:val="24"/>
        </w:rPr>
        <w:t xml:space="preserve"> </w:t>
      </w:r>
    </w:p>
    <w:p w14:paraId="0DE49E0F" w14:textId="77777777" w:rsidR="005768E5" w:rsidRDefault="005768E5" w:rsidP="0021055B">
      <w:pPr>
        <w:ind w:firstLine="0"/>
        <w:rPr>
          <w:rFonts w:cs="Times New Roman"/>
          <w:i/>
          <w:szCs w:val="24"/>
        </w:rPr>
      </w:pPr>
    </w:p>
    <w:p w14:paraId="7914BA36" w14:textId="4A84AEBB" w:rsidR="0021055B" w:rsidRPr="00FF7D79" w:rsidRDefault="0021055B" w:rsidP="00E21878">
      <w:pPr>
        <w:pStyle w:val="Heading1"/>
        <w:rPr>
          <w:sz w:val="32"/>
          <w:szCs w:val="32"/>
        </w:rPr>
      </w:pPr>
      <w:r w:rsidRPr="00FF7D79">
        <w:rPr>
          <w:sz w:val="32"/>
          <w:szCs w:val="32"/>
        </w:rPr>
        <w:t>Extended Abstract</w:t>
      </w:r>
    </w:p>
    <w:p w14:paraId="6EAF283E" w14:textId="1C15EFD3" w:rsidR="003F024C" w:rsidRDefault="003327ED" w:rsidP="00432095">
      <w:pPr>
        <w:ind w:firstLine="0"/>
        <w:jc w:val="both"/>
      </w:pPr>
      <w:r w:rsidRPr="003327ED">
        <w:rPr>
          <w:b/>
          <w:bCs/>
        </w:rPr>
        <w:t>Motivation.</w:t>
      </w:r>
      <w:r>
        <w:t xml:space="preserve"> </w:t>
      </w:r>
      <w:r w:rsidR="00432095">
        <w:t>Distinguishing apparent from true irreducible randomness reveals a stochastic process's memory structure—a feature vital for optimal prediction and control. While well-understood classically</w:t>
      </w:r>
      <w:r w:rsidR="0053244D">
        <w:fldChar w:fldCharType="begin"/>
      </w:r>
      <w:r w:rsidR="00897769">
        <w:instrText xml:space="preserve"> ADDIN ZOTERO_ITEM CSL_CITATION {"citationID":"2RnHDyml","properties":{"unsorted":false,"formattedCitation":"\\uc0\\u160{}[1\\uc0\\u8211{}4]","plainCitation":" [1–4]","noteIndex":0},"citationItems":[{"id":18416,"uris":["http://zotero.org/users/9910552/items/UJIS46YG"],"itemData":{"id":18416,"type":"chapter","abstract":"These lectures deal with a number of information related concepts in dynamical systems. After a short general overview, emphasis is put on practical problems in numerical estimates of dynamical entropies and of attractor dimensions, and on the information dynamics of...","citation-key":"grassbergerInformationComplexity1991","container-title":"Information Dynamics","DOI":"10.1007/978-1-4899-2305-9_2","ISBN":"978-1-4899-2305-9","language":"en","note":"DOI: 10.1007/978-1-4899-2305-9_2","page":"15-33","publisher":"Springer, Boston, MA","source":"link-springer-com.remotexs.ntu.edu.sg","title":"Information and Complexity Measures in Dynamical Systems","URL":"https://link-springer-com.remotexs.ntu.edu.sg/chapter/10.1007/978-1-4899-2305-9_2","author":[{"family":"Grassberger","given":"Peter"}],"accessed":{"date-parts":[["2026",5,8]]},"issued":{"date-parts":[["1991"]]}}},{"id":5382,"uris":["http://zotero.org/users/9910552/items/QPYTNIG8"],"itemData":{"id":5382,"type":"article-journal","abstract":"Computational mechanics, an approach to structural complexity, defines a process's causal states and gives a procedure for finding them. We show that the causal-state representation--an $\\epsilon$-machine--is the minimal one consistent with accurate prediction. We establish several results on $\\epsilon$-machine optimality and uniqueness and on how $\\epsilon$-machines compare to alternative representations. Further results relate measures of randomness and structural complexity obtained from $\\epsilon$-machines to those from ergodic and information theories.","citation-key":"shaliziComputationalMechanics2001","container-title":"Journal of Statistical Physics","DOI":"10.1023/A:1010388907793","ISSN":"00224715","issue":"3/4","language":"en","note":"arXiv:cond-mat/9907176","page":"817-879","source":"arXiv.org","title":"Computational mechanics: Pattern and prediction, structure and simplicity","title-short":"Computational mechanics","volume":"104","author":[{"family":"Shalizi","given":"Cosma Rohilla"},{"family":"Crutchfield","given":"James P."}],"issued":{"date-parts":[["2001"]]}}},{"id":18539,"uris":["http://zotero.org/users/9910552/items/EI5HF58S"],"itemData":{"id":18539,"type":"article-journal","abstract":"We define predictive information Ipred(T) as the mutual information between the past and the future of a time series. Three qualitatively different behaviors are found in the limit of large observation times T: Ipred(T) can remain finite, grow logarithmically, or grow as a fractional power law. If the time series allows us to learn a model with a finite number of parameters, then Ipred(T) grows logarithmically with a coefficient that counts the dimensionality of the model space. In contrast, power-law growth is associated, for example, with the learning of infinite parameter (or non-parametric) models such as continuous functions with smoothness constraints. There are connections between the predictive information and measures of complexity that have been defined both in learning theory and the analysis of physical systems through statistical mechanics and dynamical systems theory. Furthermore, in the same way that entropy provides the unique measure of available information consistent with some simple and plausible conditions, we argue that the divergent part of Ipred(T) provides the unique measure for the complexity of dynamics underlying a time series. Finally, we discuss how these ideas may be useful in problems in physics, statistics, and biology.","citation-key":"bialekPredictabilityComplexity2001","container-title":"Neural Computation","DOI":"10.1162/089976601753195969","ISSN":"0899-7667","issue":"11","journalAbbreviation":"Neural Comput","page":"2409-2463","source":"Silverchair","title":"Predictability, Complexity, and Learning","volume":"13","author":[{"family":"Bialek","given":"William"},{"family":"Nemenman","given":"Ilya"},{"family":"Tishby","given":"Naftali"}],"issued":{"date-parts":[["2001",11,1]]}}},{"id":5515,"uris":["http://zotero.org/users/9910552/items/NZ7ZEI7D"],"itemData":{"id":5515,"type":"article-journal","abstract":"We study how the Shannon entropy of sequences produced by an information source converges to the source’s entropy rate. We synthesize several phenomenological approaches to applying information theoretic measures of randomness and memory to stochastic and deterministic processes by using successive derivatives of the Shannon entropy growth curve. This leads, in turn, to natural measures of apparent memory stored in a source and the amounts of information that must be extracted from observations of a source in order for it to be optimally predicted and for an observer to synchronize to it. To measure the difficulty of synchronization, we define the transient information and prove that, for Markov processes, it is related to the total uncertainty experienced while synchronizing to a process. One consequence of ignoring a process’s structural properties is that the missed regularities are converted to apparent randomness. We demonstrate that this problem arises particularly for settings where one has access only to short measurement sequences. Numerically and analytically, we determine the Shannon entropy growth curve, and related quantities, for a range of stochastic and deterministic processes. We conclude by looking at the relationships between a process’s entropy convergence behavior and its underlying computational structure.","citation-key":"crutchfieldRegularitiesUnseen2003","container-title":"Chaos: An Interdisciplinary Journal of Nonlinear Science","DOI":"10.1063/1.1530990","ISSN":"1054-1500, 1089-7682","issue":"1","language":"en","page":"25-54","source":"DOI.org (Crossref)","title":"Regularities unseen, randomness observed: Levels of entropy convergence","title-short":"Regularities unseen, randomness observed","volume":"13","author":[{"family":"Crutchfield","given":"James P."},{"family":"Feldman","given":"David P."}],"issued":{"date-parts":[["2003",3,1]]}}}],"schema":"https://github.com/citation-style-language/schema/raw/master/csl-citation.json"} </w:instrText>
      </w:r>
      <w:r w:rsidR="0053244D">
        <w:fldChar w:fldCharType="separate"/>
      </w:r>
      <w:r w:rsidR="00897769" w:rsidRPr="00897769">
        <w:rPr>
          <w:rFonts w:cs="Times New Roman"/>
          <w:szCs w:val="24"/>
          <w:lang w:val="en-GB"/>
        </w:rPr>
        <w:t> [1–4]</w:t>
      </w:r>
      <w:r w:rsidR="0053244D">
        <w:fldChar w:fldCharType="end"/>
      </w:r>
      <w:r w:rsidR="00432095">
        <w:t>, quantum analogs remain underdeveloped due to the inherent interactive nature of quantum dynamics.</w:t>
      </w:r>
    </w:p>
    <w:p w14:paraId="5D2B71BA" w14:textId="77777777" w:rsidR="00DB217E" w:rsidRPr="003F024C" w:rsidRDefault="00DB217E" w:rsidP="0000661C">
      <w:pPr>
        <w:ind w:firstLine="0"/>
        <w:jc w:val="both"/>
      </w:pPr>
    </w:p>
    <w:p w14:paraId="50A7C3E4" w14:textId="6075EE6B" w:rsidR="003F024C" w:rsidRDefault="003327ED" w:rsidP="0000661C">
      <w:pPr>
        <w:ind w:firstLine="0"/>
        <w:jc w:val="both"/>
        <w:rPr>
          <w:lang w:val="es-419"/>
        </w:rPr>
      </w:pPr>
      <w:r w:rsidRPr="003327ED">
        <w:rPr>
          <w:b/>
          <w:bCs/>
        </w:rPr>
        <w:t>Approach and Methodology.</w:t>
      </w:r>
      <w:r>
        <w:t xml:space="preserve"> </w:t>
      </w:r>
      <w:r w:rsidR="00432095">
        <w:t xml:space="preserve">By mapping multi-time input-output relations to temporal Choi states </w:t>
      </w:r>
      <w:r w:rsidR="00B242FA">
        <w:t xml:space="preserve">(see Fig. 1) </w:t>
      </w:r>
      <w:r w:rsidR="00432095">
        <w:t>representing quantum stochastic processes</w:t>
      </w:r>
      <w:r w:rsidR="00050417">
        <w:fldChar w:fldCharType="begin"/>
      </w:r>
      <w:r w:rsidR="002B7BDF">
        <w:instrText xml:space="preserve"> ADDIN ZOTERO_ITEM CSL_CITATION {"citationID":"5KFgNJ4s","properties":{"unsorted":false,"formattedCitation":"\\uc0\\u160{}[5]","plainCitation":" [5]","noteIndex":0},"citationItems":[{"id":5084,"uris":["http://zotero.org/users/9910552/items/GPHJ458M"],"itemData":{"id":5084,"type":"article-journal","abstract":"Currently, there is no systematic way to describe a quantum process with memory solely in terms of experimentally accessible quantities. However, recent technological advances mean we have control over systems at scales where memory effects are non-negligible. The lack of such an operational description has hindered advances in understanding physical, chemical and biological processes, where often unjustified theoretical assumptions are made to render a dynamical description tractable. This has led to theories plagued with unphysical results and no consensus on what a quantum Markov (memoryless) process is. Here, we develop a universal framework to characterise arbitrary non-Markovian quantum processes. We show how a multi-time non-Markovian process can be reconstructed experimentally, and that it has a natural representation as a many body quantum state, where temporal correlations are mapped to spatial ones. Moreover, this state is expected to have an efficient matrix product operator form in many cases. Our framework constitutes a systematic tool for the effective description of memory-bearing open-system evolutions.","citation-key":"pollockNonmarkovianQuantum2018","container-title":"Physical Review A","DOI":"10.1103/PhysRevA.97.012127","ISSN":"2469-9926, 2469-9934","issue":"1","journalAbbreviation":"Phys. Rev. A","note":"arXiv:1512.00589 [cond-mat, physics:math-ph, physics:quant-ph]","page":"012127","source":"arXiv.org","title":"Non-markovian quantum processes: complete framework and efficient characterisation","title-short":"Non-markovian quantum processes","volume":"97","author":[{"family":"Pollock","given":"Felix A."},{"family":"Rodríguez-Rosario","given":"César"},{"family":"Frauenheim","given":"Thomas"},{"family":"Paternostro","given":"Mauro"},{"family":"Modi","given":"Kavan"}],"issued":{"date-parts":[["2018",1,25]]}}}],"schema":"https://github.com/citation-style-language/schema/raw/master/csl-citation.json"} </w:instrText>
      </w:r>
      <w:r w:rsidR="00050417">
        <w:fldChar w:fldCharType="separate"/>
      </w:r>
      <w:r w:rsidR="002B7BDF" w:rsidRPr="002B7BDF">
        <w:rPr>
          <w:rFonts w:cs="Times New Roman"/>
          <w:szCs w:val="24"/>
          <w:lang w:val="en-GB"/>
        </w:rPr>
        <w:t> [5]</w:t>
      </w:r>
      <w:r w:rsidR="00050417">
        <w:fldChar w:fldCharType="end"/>
      </w:r>
      <w:r w:rsidR="00432095">
        <w:t>, we formulate the quantum entropy rate as a measure of irreducible randomness—expressed as the asymptotic quantum conditional entropy of such temporal states.</w:t>
      </w:r>
    </w:p>
    <w:p w14:paraId="0E95A86C" w14:textId="77777777" w:rsidR="00DB217E" w:rsidRPr="00601BEE" w:rsidRDefault="00DB217E" w:rsidP="0000661C">
      <w:pPr>
        <w:ind w:firstLine="0"/>
        <w:jc w:val="both"/>
        <w:rPr>
          <w:lang w:val="es-419"/>
        </w:rPr>
      </w:pPr>
    </w:p>
    <w:p w14:paraId="207F4C6F" w14:textId="39AC9C73" w:rsidR="003F024C" w:rsidRDefault="003327ED" w:rsidP="00DB217E">
      <w:pPr>
        <w:ind w:firstLine="0"/>
        <w:jc w:val="both"/>
      </w:pPr>
      <w:r w:rsidRPr="003327ED">
        <w:rPr>
          <w:b/>
          <w:bCs/>
          <w:lang w:val="es-419"/>
        </w:rPr>
        <w:t>Results.</w:t>
      </w:r>
      <w:r>
        <w:rPr>
          <w:lang w:val="es-419"/>
        </w:rPr>
        <w:t xml:space="preserve"> </w:t>
      </w:r>
      <w:r w:rsidR="00432095">
        <w:t>We prove that causality ensures its non-negativity and convergence of the quantum entropy rate for stationary processes. We show that the quantum entropy rate physically lower bounds the average randomness in the future system evolution no matter how much information an experimenter collects about the process. Furthermore, it directly leads to a quantum excess entropy as the apparent memory which</w:t>
      </w:r>
      <w:r w:rsidR="00332F0C">
        <w:t xml:space="preserve"> lower</w:t>
      </w:r>
      <w:r w:rsidR="00432095">
        <w:t xml:space="preserve"> </w:t>
      </w:r>
      <w:r w:rsidR="00332F0C">
        <w:t>bounds</w:t>
      </w:r>
      <w:r w:rsidR="00432095">
        <w:t xml:space="preserve"> the</w:t>
      </w:r>
      <w:r w:rsidR="00332F0C">
        <w:t xml:space="preserve"> </w:t>
      </w:r>
      <w:r w:rsidR="00432095">
        <w:t>memory cost for any recurrent quantum circuit model of the process.</w:t>
      </w:r>
    </w:p>
    <w:p w14:paraId="06032212" w14:textId="77777777" w:rsidR="00DB217E" w:rsidRPr="00601BEE" w:rsidRDefault="00DB217E" w:rsidP="00DB217E">
      <w:pPr>
        <w:ind w:firstLine="0"/>
        <w:jc w:val="both"/>
        <w:rPr>
          <w:lang w:val="es-419"/>
        </w:rPr>
      </w:pPr>
    </w:p>
    <w:p w14:paraId="4EA40AFA" w14:textId="41112FA9" w:rsidR="003F024C" w:rsidRPr="003F024C" w:rsidRDefault="00D11698" w:rsidP="0000661C">
      <w:pPr>
        <w:ind w:firstLine="0"/>
        <w:jc w:val="both"/>
      </w:pPr>
      <w:r w:rsidRPr="00D11698">
        <w:rPr>
          <w:b/>
          <w:bCs/>
        </w:rPr>
        <w:t>Conclusions and Outlook.</w:t>
      </w:r>
      <w:r>
        <w:t xml:space="preserve"> </w:t>
      </w:r>
    </w:p>
    <w:p w14:paraId="37A00343" w14:textId="77A2243C" w:rsidR="00CD1EC8" w:rsidRDefault="000B18A0" w:rsidP="00CD1EC8">
      <w:pPr>
        <w:ind w:firstLine="0"/>
        <w:jc w:val="both"/>
        <w:rPr>
          <w:lang w:val="es-419"/>
        </w:rPr>
      </w:pPr>
      <w:r>
        <w:rPr>
          <w:lang w:val="es-419"/>
        </w:rPr>
        <w:t xml:space="preserve">Since the quantum excess entropy is one indicator of the complexity of the </w:t>
      </w:r>
      <w:r w:rsidR="00272690">
        <w:rPr>
          <w:lang w:val="es-419"/>
        </w:rPr>
        <w:t>quantum process, w</w:t>
      </w:r>
      <w:r w:rsidR="00CD1EC8">
        <w:rPr>
          <w:lang w:val="es-419"/>
        </w:rPr>
        <w:t>e</w:t>
      </w:r>
      <w:r w:rsidR="00CD1EC8" w:rsidRPr="00A30FE4">
        <w:rPr>
          <w:lang w:val="es-419"/>
        </w:rPr>
        <w:t xml:space="preserve"> draw connections to quantum reservoir computers which leverage complex quantum many-body systems to process temporal data. We discuss how their expressivity </w:t>
      </w:r>
      <w:r w:rsidR="004D03B6">
        <w:rPr>
          <w:lang w:val="es-419"/>
        </w:rPr>
        <w:t xml:space="preserve">could </w:t>
      </w:r>
      <w:r w:rsidR="00CD1EC8" w:rsidRPr="00A30FE4">
        <w:rPr>
          <w:lang w:val="es-419"/>
        </w:rPr>
        <w:t>depend on the complexity of the underlying dynamics.</w:t>
      </w:r>
    </w:p>
    <w:p w14:paraId="13E0B6F0" w14:textId="77777777" w:rsidR="00432095" w:rsidRPr="00CD1EC8" w:rsidRDefault="00432095" w:rsidP="00570019">
      <w:pPr>
        <w:pStyle w:val="Heading1"/>
        <w:rPr>
          <w:sz w:val="32"/>
          <w:szCs w:val="32"/>
          <w:lang w:val="es-419"/>
        </w:rPr>
      </w:pPr>
    </w:p>
    <w:p w14:paraId="3E23BE35" w14:textId="2C09823D" w:rsidR="00925731" w:rsidRDefault="00571A21" w:rsidP="0053244D">
      <w:pPr>
        <w:pStyle w:val="Heading1"/>
        <w:rPr>
          <w:sz w:val="32"/>
          <w:szCs w:val="32"/>
        </w:rPr>
      </w:pPr>
      <w:r w:rsidRPr="00FF7D79">
        <w:rPr>
          <w:sz w:val="32"/>
          <w:szCs w:val="32"/>
        </w:rPr>
        <w:t>References</w:t>
      </w:r>
    </w:p>
    <w:p w14:paraId="466EBE76" w14:textId="77777777" w:rsidR="002B7BDF" w:rsidRPr="002B7BDF" w:rsidRDefault="00897769" w:rsidP="002B7BDF">
      <w:pPr>
        <w:pStyle w:val="Bibliography"/>
        <w:rPr>
          <w:rFonts w:cs="Times New Roman"/>
          <w:lang w:val="en-GB"/>
        </w:rPr>
      </w:pPr>
      <w:r>
        <w:fldChar w:fldCharType="begin"/>
      </w:r>
      <w:r>
        <w:instrText xml:space="preserve"> ADDIN ZOTERO_BIBL {"uncited":[],"omitted":[],"custom":[]} CSL_BIBLIOGRAPHY </w:instrText>
      </w:r>
      <w:r>
        <w:fldChar w:fldCharType="separate"/>
      </w:r>
      <w:r w:rsidR="002B7BDF" w:rsidRPr="002B7BDF">
        <w:rPr>
          <w:rFonts w:cs="Times New Roman"/>
          <w:lang w:val="en-GB"/>
        </w:rPr>
        <w:t>[1]</w:t>
      </w:r>
      <w:r w:rsidR="002B7BDF" w:rsidRPr="002B7BDF">
        <w:rPr>
          <w:rFonts w:cs="Times New Roman"/>
          <w:lang w:val="en-GB"/>
        </w:rPr>
        <w:tab/>
        <w:t xml:space="preserve">P. Grassberger, </w:t>
      </w:r>
      <w:r w:rsidR="002B7BDF" w:rsidRPr="002B7BDF">
        <w:rPr>
          <w:rFonts w:cs="Times New Roman"/>
          <w:i/>
          <w:iCs/>
          <w:lang w:val="en-GB"/>
        </w:rPr>
        <w:t>Information and Complexity Measures in Dynamical Systems</w:t>
      </w:r>
      <w:r w:rsidR="002B7BDF" w:rsidRPr="002B7BDF">
        <w:rPr>
          <w:rFonts w:cs="Times New Roman"/>
          <w:lang w:val="en-GB"/>
        </w:rPr>
        <w:t xml:space="preserve">, in </w:t>
      </w:r>
      <w:r w:rsidR="002B7BDF" w:rsidRPr="002B7BDF">
        <w:rPr>
          <w:rFonts w:cs="Times New Roman"/>
          <w:i/>
          <w:iCs/>
          <w:lang w:val="en-GB"/>
        </w:rPr>
        <w:t>Information Dynamics</w:t>
      </w:r>
      <w:r w:rsidR="002B7BDF" w:rsidRPr="002B7BDF">
        <w:rPr>
          <w:rFonts w:cs="Times New Roman"/>
          <w:lang w:val="en-GB"/>
        </w:rPr>
        <w:t xml:space="preserve"> (Springer, Boston, MA, 1991), pp. 15–33.</w:t>
      </w:r>
    </w:p>
    <w:p w14:paraId="218DA244" w14:textId="77777777" w:rsidR="002B7BDF" w:rsidRPr="002B7BDF" w:rsidRDefault="002B7BDF" w:rsidP="002B7BDF">
      <w:pPr>
        <w:pStyle w:val="Bibliography"/>
        <w:rPr>
          <w:rFonts w:cs="Times New Roman"/>
          <w:lang w:val="en-GB"/>
        </w:rPr>
      </w:pPr>
      <w:r w:rsidRPr="002B7BDF">
        <w:rPr>
          <w:rFonts w:cs="Times New Roman"/>
          <w:lang w:val="en-GB"/>
        </w:rPr>
        <w:t>[2]</w:t>
      </w:r>
      <w:r w:rsidRPr="002B7BDF">
        <w:rPr>
          <w:rFonts w:cs="Times New Roman"/>
          <w:lang w:val="en-GB"/>
        </w:rPr>
        <w:tab/>
        <w:t xml:space="preserve">C. R. Shalizi and J. P. Crutchfield, Computational mechanics: Pattern and prediction, structure and simplicity, Journal of Statistical Physics </w:t>
      </w:r>
      <w:r w:rsidRPr="002B7BDF">
        <w:rPr>
          <w:rFonts w:cs="Times New Roman"/>
          <w:b/>
          <w:bCs/>
          <w:lang w:val="en-GB"/>
        </w:rPr>
        <w:t>104</w:t>
      </w:r>
      <w:r w:rsidRPr="002B7BDF">
        <w:rPr>
          <w:rFonts w:cs="Times New Roman"/>
          <w:lang w:val="en-GB"/>
        </w:rPr>
        <w:t>, 817 (2001).</w:t>
      </w:r>
    </w:p>
    <w:p w14:paraId="5196C5AC" w14:textId="77777777" w:rsidR="002B7BDF" w:rsidRPr="002B7BDF" w:rsidRDefault="002B7BDF" w:rsidP="002B7BDF">
      <w:pPr>
        <w:pStyle w:val="Bibliography"/>
        <w:rPr>
          <w:rFonts w:cs="Times New Roman"/>
          <w:lang w:val="en-GB"/>
        </w:rPr>
      </w:pPr>
      <w:r w:rsidRPr="002B7BDF">
        <w:rPr>
          <w:rFonts w:cs="Times New Roman"/>
          <w:lang w:val="en-GB"/>
        </w:rPr>
        <w:t>[3]</w:t>
      </w:r>
      <w:r w:rsidRPr="002B7BDF">
        <w:rPr>
          <w:rFonts w:cs="Times New Roman"/>
          <w:lang w:val="en-GB"/>
        </w:rPr>
        <w:tab/>
        <w:t xml:space="preserve">W. Bialek, I. Nemenman, and N. Tishby, Predictability, Complexity, and Learning, Neural Comput </w:t>
      </w:r>
      <w:r w:rsidRPr="002B7BDF">
        <w:rPr>
          <w:rFonts w:cs="Times New Roman"/>
          <w:b/>
          <w:bCs/>
          <w:lang w:val="en-GB"/>
        </w:rPr>
        <w:t>13</w:t>
      </w:r>
      <w:r w:rsidRPr="002B7BDF">
        <w:rPr>
          <w:rFonts w:cs="Times New Roman"/>
          <w:lang w:val="en-GB"/>
        </w:rPr>
        <w:t>, 2409 (2001).</w:t>
      </w:r>
    </w:p>
    <w:p w14:paraId="202A2F74" w14:textId="77777777" w:rsidR="002B7BDF" w:rsidRPr="002B7BDF" w:rsidRDefault="002B7BDF" w:rsidP="002B7BDF">
      <w:pPr>
        <w:pStyle w:val="Bibliography"/>
        <w:rPr>
          <w:rFonts w:cs="Times New Roman"/>
          <w:lang w:val="en-GB"/>
        </w:rPr>
      </w:pPr>
      <w:r w:rsidRPr="002B7BDF">
        <w:rPr>
          <w:rFonts w:cs="Times New Roman"/>
          <w:lang w:val="en-GB"/>
        </w:rPr>
        <w:lastRenderedPageBreak/>
        <w:t>[4]</w:t>
      </w:r>
      <w:r w:rsidRPr="002B7BDF">
        <w:rPr>
          <w:rFonts w:cs="Times New Roman"/>
          <w:lang w:val="en-GB"/>
        </w:rPr>
        <w:tab/>
        <w:t xml:space="preserve">J. P. Crutchfield and D. P. Feldman, Regularities unseen, randomness observed: Levels of entropy convergence, Chaos: An Interdisciplinary Journal of Nonlinear Science </w:t>
      </w:r>
      <w:r w:rsidRPr="002B7BDF">
        <w:rPr>
          <w:rFonts w:cs="Times New Roman"/>
          <w:b/>
          <w:bCs/>
          <w:lang w:val="en-GB"/>
        </w:rPr>
        <w:t>13</w:t>
      </w:r>
      <w:r w:rsidRPr="002B7BDF">
        <w:rPr>
          <w:rFonts w:cs="Times New Roman"/>
          <w:lang w:val="en-GB"/>
        </w:rPr>
        <w:t>, 25 (2003).</w:t>
      </w:r>
    </w:p>
    <w:p w14:paraId="0D6B3210" w14:textId="77777777" w:rsidR="002B7BDF" w:rsidRPr="002B7BDF" w:rsidRDefault="002B7BDF" w:rsidP="002B7BDF">
      <w:pPr>
        <w:pStyle w:val="Bibliography"/>
        <w:rPr>
          <w:rFonts w:cs="Times New Roman"/>
          <w:lang w:val="en-GB"/>
        </w:rPr>
      </w:pPr>
      <w:r w:rsidRPr="002B7BDF">
        <w:rPr>
          <w:rFonts w:cs="Times New Roman"/>
          <w:lang w:val="en-GB"/>
        </w:rPr>
        <w:t>[5]</w:t>
      </w:r>
      <w:r w:rsidRPr="002B7BDF">
        <w:rPr>
          <w:rFonts w:cs="Times New Roman"/>
          <w:lang w:val="en-GB"/>
        </w:rPr>
        <w:tab/>
        <w:t xml:space="preserve">F. A. Pollock, C. Rodríguez-Rosario, T. Frauenheim, M. Paternostro, and K. Modi, Non-markovian quantum processes: complete framework and efficient characterisation, Phys. Rev. A </w:t>
      </w:r>
      <w:r w:rsidRPr="002B7BDF">
        <w:rPr>
          <w:rFonts w:cs="Times New Roman"/>
          <w:b/>
          <w:bCs/>
          <w:lang w:val="en-GB"/>
        </w:rPr>
        <w:t>97</w:t>
      </w:r>
      <w:r w:rsidRPr="002B7BDF">
        <w:rPr>
          <w:rFonts w:cs="Times New Roman"/>
          <w:lang w:val="en-GB"/>
        </w:rPr>
        <w:t>, 012127 (2018).</w:t>
      </w:r>
    </w:p>
    <w:p w14:paraId="5FF88345" w14:textId="4B7FA139" w:rsidR="00F710E0" w:rsidRDefault="00897769" w:rsidP="00F710E0">
      <w:pPr>
        <w:pStyle w:val="Bibliography"/>
      </w:pPr>
      <w:r>
        <w:fldChar w:fldCharType="end"/>
      </w:r>
    </w:p>
    <w:p w14:paraId="29F79074" w14:textId="77777777" w:rsidR="00F710E0" w:rsidRDefault="00F710E0" w:rsidP="00966220">
      <w:pPr>
        <w:ind w:firstLine="0"/>
      </w:pPr>
    </w:p>
    <w:p w14:paraId="57683576" w14:textId="3B6CA983" w:rsidR="00966220" w:rsidRPr="00F710E0" w:rsidRDefault="00966220" w:rsidP="00B242FA">
      <w:pPr>
        <w:jc w:val="center"/>
      </w:pPr>
      <w:r w:rsidRPr="00966220">
        <w:drawing>
          <wp:inline distT="0" distB="0" distL="0" distR="0" wp14:anchorId="00C9A37F" wp14:editId="139AA28F">
            <wp:extent cx="3750734" cy="3622284"/>
            <wp:effectExtent l="0" t="0" r="0" b="0"/>
            <wp:docPr id="1213249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49460" name=""/>
                    <pic:cNvPicPr/>
                  </pic:nvPicPr>
                  <pic:blipFill>
                    <a:blip r:embed="rId8"/>
                    <a:stretch>
                      <a:fillRect/>
                    </a:stretch>
                  </pic:blipFill>
                  <pic:spPr>
                    <a:xfrm>
                      <a:off x="0" y="0"/>
                      <a:ext cx="3761423" cy="3632607"/>
                    </a:xfrm>
                    <a:prstGeom prst="rect">
                      <a:avLst/>
                    </a:prstGeom>
                  </pic:spPr>
                </pic:pic>
              </a:graphicData>
            </a:graphic>
          </wp:inline>
        </w:drawing>
      </w:r>
    </w:p>
    <w:sectPr w:rsidR="00966220" w:rsidRPr="00F710E0" w:rsidSect="00917118">
      <w:headerReference w:type="default" r:id="rId9"/>
      <w:footerReference w:type="default" r:id="rId10"/>
      <w:pgSz w:w="11907" w:h="16840" w:code="9"/>
      <w:pgMar w:top="1440" w:right="1440" w:bottom="1440" w:left="1440"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D155" w14:textId="77777777" w:rsidR="00CC7604" w:rsidRDefault="00CC7604" w:rsidP="002C233A">
      <w:r>
        <w:separator/>
      </w:r>
    </w:p>
  </w:endnote>
  <w:endnote w:type="continuationSeparator" w:id="0">
    <w:p w14:paraId="5D679B3D" w14:textId="77777777" w:rsidR="00CC7604" w:rsidRDefault="00CC7604" w:rsidP="002C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056466"/>
      <w:docPartObj>
        <w:docPartGallery w:val="Page Numbers (Bottom of Page)"/>
        <w:docPartUnique/>
      </w:docPartObj>
    </w:sdtPr>
    <w:sdtEndPr>
      <w:rPr>
        <w:rFonts w:cs="Times New Roman"/>
        <w:noProof/>
      </w:rPr>
    </w:sdtEndPr>
    <w:sdtContent>
      <w:p w14:paraId="7F360A44" w14:textId="091AEE40" w:rsidR="002C233A" w:rsidRPr="0021055B" w:rsidRDefault="002C233A" w:rsidP="0021055B">
        <w:pPr>
          <w:pStyle w:val="Footer"/>
          <w:ind w:firstLine="0"/>
          <w:jc w:val="center"/>
          <w:rPr>
            <w:rFonts w:cs="Times New Roman"/>
            <w:noProof/>
          </w:rPr>
        </w:pPr>
        <w:r w:rsidRPr="002C233A">
          <w:rPr>
            <w:rFonts w:cs="Times New Roman"/>
          </w:rPr>
          <w:fldChar w:fldCharType="begin"/>
        </w:r>
        <w:r w:rsidRPr="002C233A">
          <w:rPr>
            <w:rFonts w:cs="Times New Roman"/>
          </w:rPr>
          <w:instrText xml:space="preserve"> PAGE   \* MERGEFORMAT </w:instrText>
        </w:r>
        <w:r w:rsidRPr="002C233A">
          <w:rPr>
            <w:rFonts w:cs="Times New Roman"/>
          </w:rPr>
          <w:fldChar w:fldCharType="separate"/>
        </w:r>
        <w:r w:rsidR="00237370">
          <w:rPr>
            <w:rFonts w:cs="Times New Roman"/>
            <w:noProof/>
          </w:rPr>
          <w:t>1</w:t>
        </w:r>
        <w:r w:rsidRPr="002C233A">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30F9" w14:textId="77777777" w:rsidR="00CC7604" w:rsidRDefault="00CC7604" w:rsidP="002C233A">
      <w:r>
        <w:separator/>
      </w:r>
    </w:p>
  </w:footnote>
  <w:footnote w:type="continuationSeparator" w:id="0">
    <w:p w14:paraId="031DDBA5" w14:textId="77777777" w:rsidR="00CC7604" w:rsidRDefault="00CC7604" w:rsidP="002C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CE64" w14:textId="72B8734F" w:rsidR="00E5307C" w:rsidRDefault="005F1570" w:rsidP="00D76098">
    <w:pPr>
      <w:pStyle w:val="Header"/>
      <w:ind w:firstLine="0"/>
      <w:jc w:val="center"/>
      <w:rPr>
        <w:rFonts w:cs="Times New Roman"/>
        <w:bCs/>
        <w:szCs w:val="24"/>
      </w:rPr>
    </w:pPr>
    <w:r>
      <w:rPr>
        <w:rFonts w:cs="Times New Roman"/>
        <w:bCs/>
        <w:szCs w:val="24"/>
      </w:rPr>
      <w:t>APCNCS</w:t>
    </w:r>
    <w:r w:rsidR="00CB08A7">
      <w:rPr>
        <w:rFonts w:cs="Times New Roman"/>
        <w:bCs/>
        <w:szCs w:val="24"/>
      </w:rPr>
      <w:t xml:space="preserve">2026: </w:t>
    </w:r>
    <w:r w:rsidRPr="005F1570">
      <w:rPr>
        <w:rFonts w:cs="Times New Roman"/>
        <w:bCs/>
        <w:szCs w:val="24"/>
      </w:rPr>
      <w:t>Asia-Pacific Conference on Networks and Complex Systems</w:t>
    </w:r>
  </w:p>
  <w:p w14:paraId="43780C31" w14:textId="57098DA7" w:rsidR="006A4CDB" w:rsidRDefault="006A4CDB" w:rsidP="00D76098">
    <w:pPr>
      <w:pStyle w:val="Header"/>
      <w:ind w:firstLine="0"/>
      <w:jc w:val="center"/>
      <w:rPr>
        <w:rFonts w:cs="Times New Roman"/>
        <w:bCs/>
        <w:szCs w:val="24"/>
      </w:rPr>
    </w:pPr>
    <w:r>
      <w:rPr>
        <w:rFonts w:cs="Times New Roman"/>
        <w:bCs/>
        <w:szCs w:val="24"/>
      </w:rPr>
      <w:t>Focus Session: Complexity of AI</w:t>
    </w:r>
  </w:p>
  <w:p w14:paraId="3B093415" w14:textId="38C3243C" w:rsidR="002C233A" w:rsidRPr="00E5307C" w:rsidRDefault="00FE56EE" w:rsidP="0021055B">
    <w:pPr>
      <w:pStyle w:val="Header"/>
      <w:ind w:firstLine="0"/>
      <w:jc w:val="center"/>
      <w:rPr>
        <w:rFonts w:cs="Times New Roman"/>
        <w:lang w:val="it-IT"/>
      </w:rPr>
    </w:pPr>
    <w:r>
      <w:rPr>
        <w:rFonts w:cs="Times New Roman"/>
        <w:bCs/>
        <w:szCs w:val="24"/>
      </w:rPr>
      <w:t xml:space="preserve">10-12 </w:t>
    </w:r>
    <w:r w:rsidR="005F1570">
      <w:rPr>
        <w:rFonts w:cs="Times New Roman"/>
        <w:bCs/>
        <w:szCs w:val="24"/>
      </w:rPr>
      <w:t>June</w:t>
    </w:r>
    <w:r w:rsidR="006D6AFD">
      <w:rPr>
        <w:rFonts w:cs="Times New Roman"/>
        <w:bCs/>
        <w:szCs w:val="24"/>
      </w:rPr>
      <w:t xml:space="preserve"> 20</w:t>
    </w:r>
    <w:r w:rsidR="009B41F6">
      <w:rPr>
        <w:rFonts w:cs="Times New Roman"/>
        <w:bCs/>
        <w:szCs w:val="24"/>
      </w:rPr>
      <w:t>2</w:t>
    </w:r>
    <w:r w:rsidR="00BC3B6D">
      <w:rPr>
        <w:rFonts w:cs="Times New Roman"/>
        <w:bCs/>
        <w:szCs w:val="24"/>
      </w:rPr>
      <w:t>6</w:t>
    </w:r>
    <w:r>
      <w:rPr>
        <w:rFonts w:cs="Times New Roman"/>
        <w:bCs/>
        <w:szCs w:val="24"/>
      </w:rPr>
      <w:t>,</w:t>
    </w:r>
    <w:r w:rsidR="00570019">
      <w:rPr>
        <w:rFonts w:cs="Times New Roman"/>
        <w:bCs/>
        <w:szCs w:val="24"/>
      </w:rPr>
      <w:t xml:space="preserve"> </w:t>
    </w:r>
    <w:r w:rsidR="005F1570">
      <w:rPr>
        <w:rFonts w:cs="Times New Roman"/>
        <w:bCs/>
        <w:szCs w:val="24"/>
      </w:rPr>
      <w:t>Nanyang Technological University</w:t>
    </w:r>
    <w:r w:rsidR="00CB08A7">
      <w:rPr>
        <w:rFonts w:cs="Times New Roman"/>
        <w:bCs/>
        <w:szCs w:val="24"/>
      </w:rPr>
      <w:t xml:space="preserve">, </w:t>
    </w:r>
    <w:r w:rsidR="005F1570">
      <w:rPr>
        <w:rFonts w:cs="Times New Roman"/>
        <w:bCs/>
        <w:szCs w:val="24"/>
      </w:rPr>
      <w:t>Singapore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133"/>
    <w:multiLevelType w:val="hybridMultilevel"/>
    <w:tmpl w:val="5E56839E"/>
    <w:lvl w:ilvl="0" w:tplc="E984F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30ACE"/>
    <w:multiLevelType w:val="multilevel"/>
    <w:tmpl w:val="65364B0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766C5"/>
    <w:multiLevelType w:val="hybridMultilevel"/>
    <w:tmpl w:val="9DE4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491D0D"/>
    <w:multiLevelType w:val="hybridMultilevel"/>
    <w:tmpl w:val="814C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336374">
    <w:abstractNumId w:val="3"/>
  </w:num>
  <w:num w:numId="2" w16cid:durableId="1059090798">
    <w:abstractNumId w:val="2"/>
  </w:num>
  <w:num w:numId="3" w16cid:durableId="472523574">
    <w:abstractNumId w:val="0"/>
  </w:num>
  <w:num w:numId="4" w16cid:durableId="1128546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06"/>
    <w:rsid w:val="000004DA"/>
    <w:rsid w:val="0000661C"/>
    <w:rsid w:val="00050417"/>
    <w:rsid w:val="00064317"/>
    <w:rsid w:val="00095868"/>
    <w:rsid w:val="000B18A0"/>
    <w:rsid w:val="00104985"/>
    <w:rsid w:val="00105813"/>
    <w:rsid w:val="0011711C"/>
    <w:rsid w:val="001259A6"/>
    <w:rsid w:val="001631F0"/>
    <w:rsid w:val="001B16A8"/>
    <w:rsid w:val="001C3150"/>
    <w:rsid w:val="001E4437"/>
    <w:rsid w:val="002017AE"/>
    <w:rsid w:val="0021055B"/>
    <w:rsid w:val="002361F7"/>
    <w:rsid w:val="00237370"/>
    <w:rsid w:val="00243AE1"/>
    <w:rsid w:val="00254E59"/>
    <w:rsid w:val="0025584D"/>
    <w:rsid w:val="00272690"/>
    <w:rsid w:val="00272E2F"/>
    <w:rsid w:val="002866B1"/>
    <w:rsid w:val="00286C30"/>
    <w:rsid w:val="002B7BDF"/>
    <w:rsid w:val="002C233A"/>
    <w:rsid w:val="002C56FD"/>
    <w:rsid w:val="002D1E79"/>
    <w:rsid w:val="00315A68"/>
    <w:rsid w:val="003327ED"/>
    <w:rsid w:val="00332F0C"/>
    <w:rsid w:val="00333B06"/>
    <w:rsid w:val="00361ADA"/>
    <w:rsid w:val="003733DF"/>
    <w:rsid w:val="003E5A32"/>
    <w:rsid w:val="003F024C"/>
    <w:rsid w:val="00432095"/>
    <w:rsid w:val="00442845"/>
    <w:rsid w:val="00482524"/>
    <w:rsid w:val="0049578F"/>
    <w:rsid w:val="004B63C3"/>
    <w:rsid w:val="004C448C"/>
    <w:rsid w:val="004D03B6"/>
    <w:rsid w:val="004E4790"/>
    <w:rsid w:val="005059C4"/>
    <w:rsid w:val="00520037"/>
    <w:rsid w:val="0052536E"/>
    <w:rsid w:val="0053244D"/>
    <w:rsid w:val="00566F4B"/>
    <w:rsid w:val="00570019"/>
    <w:rsid w:val="00571A21"/>
    <w:rsid w:val="005768E5"/>
    <w:rsid w:val="00580B4E"/>
    <w:rsid w:val="00580B99"/>
    <w:rsid w:val="005D0748"/>
    <w:rsid w:val="005F1570"/>
    <w:rsid w:val="005F47EA"/>
    <w:rsid w:val="005F6DB4"/>
    <w:rsid w:val="00601BEE"/>
    <w:rsid w:val="00624810"/>
    <w:rsid w:val="0063626B"/>
    <w:rsid w:val="0066778B"/>
    <w:rsid w:val="00692350"/>
    <w:rsid w:val="006A4CDB"/>
    <w:rsid w:val="006B6EC3"/>
    <w:rsid w:val="006B7FB8"/>
    <w:rsid w:val="006C42C0"/>
    <w:rsid w:val="006D6AFD"/>
    <w:rsid w:val="007054B2"/>
    <w:rsid w:val="00714859"/>
    <w:rsid w:val="00783B62"/>
    <w:rsid w:val="007D3457"/>
    <w:rsid w:val="007D7217"/>
    <w:rsid w:val="0083581F"/>
    <w:rsid w:val="00870613"/>
    <w:rsid w:val="00890E6B"/>
    <w:rsid w:val="00897769"/>
    <w:rsid w:val="008A1CD8"/>
    <w:rsid w:val="008A433E"/>
    <w:rsid w:val="008D0861"/>
    <w:rsid w:val="008D67B6"/>
    <w:rsid w:val="009016DD"/>
    <w:rsid w:val="00917118"/>
    <w:rsid w:val="00925731"/>
    <w:rsid w:val="00966220"/>
    <w:rsid w:val="00977660"/>
    <w:rsid w:val="00992B26"/>
    <w:rsid w:val="00996C76"/>
    <w:rsid w:val="009B41F6"/>
    <w:rsid w:val="009E4D43"/>
    <w:rsid w:val="00A03EE2"/>
    <w:rsid w:val="00A15D60"/>
    <w:rsid w:val="00A254B8"/>
    <w:rsid w:val="00A270B2"/>
    <w:rsid w:val="00A30FE4"/>
    <w:rsid w:val="00A94D73"/>
    <w:rsid w:val="00AD0106"/>
    <w:rsid w:val="00AD19AB"/>
    <w:rsid w:val="00AD783E"/>
    <w:rsid w:val="00B02E32"/>
    <w:rsid w:val="00B242FA"/>
    <w:rsid w:val="00B51376"/>
    <w:rsid w:val="00B84DAB"/>
    <w:rsid w:val="00B864C0"/>
    <w:rsid w:val="00BB6192"/>
    <w:rsid w:val="00BB7479"/>
    <w:rsid w:val="00BC3B6D"/>
    <w:rsid w:val="00BD52DA"/>
    <w:rsid w:val="00BE2179"/>
    <w:rsid w:val="00BE7FC8"/>
    <w:rsid w:val="00C15480"/>
    <w:rsid w:val="00C21B52"/>
    <w:rsid w:val="00C54A0D"/>
    <w:rsid w:val="00C670A4"/>
    <w:rsid w:val="00CB08A7"/>
    <w:rsid w:val="00CB0DD1"/>
    <w:rsid w:val="00CC7604"/>
    <w:rsid w:val="00CD15BB"/>
    <w:rsid w:val="00CD1BC4"/>
    <w:rsid w:val="00CD1EC8"/>
    <w:rsid w:val="00CF59A8"/>
    <w:rsid w:val="00D04759"/>
    <w:rsid w:val="00D11698"/>
    <w:rsid w:val="00D57AE4"/>
    <w:rsid w:val="00D6111F"/>
    <w:rsid w:val="00D73E2B"/>
    <w:rsid w:val="00D76098"/>
    <w:rsid w:val="00D96C9D"/>
    <w:rsid w:val="00DB217E"/>
    <w:rsid w:val="00DC285C"/>
    <w:rsid w:val="00DD55F2"/>
    <w:rsid w:val="00E21878"/>
    <w:rsid w:val="00E5307C"/>
    <w:rsid w:val="00E80167"/>
    <w:rsid w:val="00EB2626"/>
    <w:rsid w:val="00EC7929"/>
    <w:rsid w:val="00EF75A5"/>
    <w:rsid w:val="00F05FE7"/>
    <w:rsid w:val="00F17665"/>
    <w:rsid w:val="00F36BDC"/>
    <w:rsid w:val="00F45C12"/>
    <w:rsid w:val="00F54668"/>
    <w:rsid w:val="00F55712"/>
    <w:rsid w:val="00F569E0"/>
    <w:rsid w:val="00F6258A"/>
    <w:rsid w:val="00F710E0"/>
    <w:rsid w:val="00F806FF"/>
    <w:rsid w:val="00FA1606"/>
    <w:rsid w:val="00FA4194"/>
    <w:rsid w:val="00FC5F17"/>
    <w:rsid w:val="00FE56EE"/>
    <w:rsid w:val="00FF6017"/>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EAA3"/>
  <w15:docId w15:val="{5BA32B04-96F9-BF40-A315-A12EFF09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5B"/>
    <w:pPr>
      <w:spacing w:after="0" w:line="240" w:lineRule="auto"/>
      <w:ind w:firstLine="425"/>
    </w:pPr>
    <w:rPr>
      <w:rFonts w:ascii="Times New Roman" w:hAnsi="Times New Roman"/>
      <w:sz w:val="24"/>
    </w:rPr>
  </w:style>
  <w:style w:type="paragraph" w:styleId="Heading1">
    <w:name w:val="heading 1"/>
    <w:basedOn w:val="Normal"/>
    <w:next w:val="Normal"/>
    <w:link w:val="Heading1Char"/>
    <w:uiPriority w:val="9"/>
    <w:qFormat/>
    <w:rsid w:val="00E21878"/>
    <w:pPr>
      <w:spacing w:before="120" w:after="120"/>
      <w:ind w:firstLine="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3A"/>
    <w:pPr>
      <w:tabs>
        <w:tab w:val="center" w:pos="4680"/>
        <w:tab w:val="right" w:pos="9360"/>
      </w:tabs>
    </w:pPr>
  </w:style>
  <w:style w:type="character" w:customStyle="1" w:styleId="HeaderChar">
    <w:name w:val="Header Char"/>
    <w:basedOn w:val="DefaultParagraphFont"/>
    <w:link w:val="Header"/>
    <w:uiPriority w:val="99"/>
    <w:rsid w:val="002C233A"/>
  </w:style>
  <w:style w:type="paragraph" w:styleId="Footer">
    <w:name w:val="footer"/>
    <w:basedOn w:val="Normal"/>
    <w:link w:val="FooterChar"/>
    <w:uiPriority w:val="99"/>
    <w:unhideWhenUsed/>
    <w:rsid w:val="002C233A"/>
    <w:pPr>
      <w:tabs>
        <w:tab w:val="center" w:pos="4680"/>
        <w:tab w:val="right" w:pos="9360"/>
      </w:tabs>
    </w:pPr>
  </w:style>
  <w:style w:type="character" w:customStyle="1" w:styleId="FooterChar">
    <w:name w:val="Footer Char"/>
    <w:basedOn w:val="DefaultParagraphFont"/>
    <w:link w:val="Footer"/>
    <w:uiPriority w:val="99"/>
    <w:rsid w:val="002C233A"/>
  </w:style>
  <w:style w:type="character" w:customStyle="1" w:styleId="Heading1Char">
    <w:name w:val="Heading 1 Char"/>
    <w:basedOn w:val="DefaultParagraphFont"/>
    <w:link w:val="Heading1"/>
    <w:uiPriority w:val="9"/>
    <w:rsid w:val="00E21878"/>
    <w:rPr>
      <w:rFonts w:ascii="Times New Roman" w:hAnsi="Times New Roman"/>
      <w:b/>
      <w:sz w:val="28"/>
      <w:szCs w:val="28"/>
    </w:rPr>
  </w:style>
  <w:style w:type="paragraph" w:styleId="NormalWeb">
    <w:name w:val="Normal (Web)"/>
    <w:basedOn w:val="Normal"/>
    <w:uiPriority w:val="99"/>
    <w:unhideWhenUsed/>
    <w:rsid w:val="00D04759"/>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04759"/>
    <w:rPr>
      <w:rFonts w:ascii="Tahoma" w:hAnsi="Tahoma" w:cs="Tahoma"/>
      <w:sz w:val="16"/>
      <w:szCs w:val="16"/>
    </w:rPr>
  </w:style>
  <w:style w:type="character" w:customStyle="1" w:styleId="BalloonTextChar">
    <w:name w:val="Balloon Text Char"/>
    <w:basedOn w:val="DefaultParagraphFont"/>
    <w:link w:val="BalloonText"/>
    <w:uiPriority w:val="99"/>
    <w:semiHidden/>
    <w:rsid w:val="00D04759"/>
    <w:rPr>
      <w:rFonts w:ascii="Tahoma" w:hAnsi="Tahoma" w:cs="Tahoma"/>
      <w:sz w:val="16"/>
      <w:szCs w:val="16"/>
    </w:rPr>
  </w:style>
  <w:style w:type="character" w:styleId="CommentReference">
    <w:name w:val="annotation reference"/>
    <w:basedOn w:val="DefaultParagraphFont"/>
    <w:uiPriority w:val="99"/>
    <w:semiHidden/>
    <w:unhideWhenUsed/>
    <w:rsid w:val="00A270B2"/>
    <w:rPr>
      <w:sz w:val="16"/>
      <w:szCs w:val="16"/>
    </w:rPr>
  </w:style>
  <w:style w:type="paragraph" w:styleId="CommentText">
    <w:name w:val="annotation text"/>
    <w:basedOn w:val="Normal"/>
    <w:link w:val="CommentTextChar"/>
    <w:uiPriority w:val="99"/>
    <w:semiHidden/>
    <w:unhideWhenUsed/>
    <w:rsid w:val="00A270B2"/>
    <w:rPr>
      <w:sz w:val="20"/>
      <w:szCs w:val="20"/>
    </w:rPr>
  </w:style>
  <w:style w:type="character" w:customStyle="1" w:styleId="CommentTextChar">
    <w:name w:val="Comment Text Char"/>
    <w:basedOn w:val="DefaultParagraphFont"/>
    <w:link w:val="CommentText"/>
    <w:uiPriority w:val="99"/>
    <w:semiHidden/>
    <w:rsid w:val="00A270B2"/>
    <w:rPr>
      <w:sz w:val="20"/>
      <w:szCs w:val="20"/>
    </w:rPr>
  </w:style>
  <w:style w:type="paragraph" w:styleId="CommentSubject">
    <w:name w:val="annotation subject"/>
    <w:basedOn w:val="CommentText"/>
    <w:next w:val="CommentText"/>
    <w:link w:val="CommentSubjectChar"/>
    <w:uiPriority w:val="99"/>
    <w:semiHidden/>
    <w:unhideWhenUsed/>
    <w:rsid w:val="00A270B2"/>
    <w:rPr>
      <w:b/>
      <w:bCs/>
    </w:rPr>
  </w:style>
  <w:style w:type="character" w:customStyle="1" w:styleId="CommentSubjectChar">
    <w:name w:val="Comment Subject Char"/>
    <w:basedOn w:val="CommentTextChar"/>
    <w:link w:val="CommentSubject"/>
    <w:uiPriority w:val="99"/>
    <w:semiHidden/>
    <w:rsid w:val="00A270B2"/>
    <w:rPr>
      <w:b/>
      <w:bCs/>
      <w:sz w:val="20"/>
      <w:szCs w:val="20"/>
    </w:rPr>
  </w:style>
  <w:style w:type="paragraph" w:styleId="ListParagraph">
    <w:name w:val="List Paragraph"/>
    <w:basedOn w:val="Normal"/>
    <w:uiPriority w:val="34"/>
    <w:qFormat/>
    <w:rsid w:val="005F47EA"/>
    <w:pPr>
      <w:ind w:left="720"/>
      <w:contextualSpacing/>
    </w:pPr>
  </w:style>
  <w:style w:type="paragraph" w:styleId="Title">
    <w:name w:val="Title"/>
    <w:basedOn w:val="Normal"/>
    <w:next w:val="Normal"/>
    <w:link w:val="TitleChar"/>
    <w:uiPriority w:val="10"/>
    <w:qFormat/>
    <w:rsid w:val="00992B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2B26"/>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3733DF"/>
    <w:pPr>
      <w:spacing w:after="200"/>
    </w:pPr>
    <w:rPr>
      <w:i/>
      <w:iCs/>
      <w:color w:val="1F497D" w:themeColor="text2"/>
      <w:sz w:val="18"/>
      <w:szCs w:val="18"/>
    </w:rPr>
  </w:style>
  <w:style w:type="table" w:styleId="TableGrid">
    <w:name w:val="Table Grid"/>
    <w:basedOn w:val="TableNormal"/>
    <w:uiPriority w:val="59"/>
    <w:rsid w:val="0037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733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733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EF75A5"/>
    <w:pPr>
      <w:numPr>
        <w:numId w:val="4"/>
      </w:numPr>
    </w:pPr>
  </w:style>
  <w:style w:type="character" w:styleId="Hyperlink">
    <w:name w:val="Hyperlink"/>
    <w:basedOn w:val="DefaultParagraphFont"/>
    <w:uiPriority w:val="99"/>
    <w:unhideWhenUsed/>
    <w:rsid w:val="00EF75A5"/>
    <w:rPr>
      <w:color w:val="0000FF" w:themeColor="hyperlink"/>
      <w:u w:val="single"/>
    </w:rPr>
  </w:style>
  <w:style w:type="character" w:styleId="UnresolvedMention">
    <w:name w:val="Unresolved Mention"/>
    <w:basedOn w:val="DefaultParagraphFont"/>
    <w:uiPriority w:val="99"/>
    <w:semiHidden/>
    <w:unhideWhenUsed/>
    <w:rsid w:val="00EF75A5"/>
    <w:rPr>
      <w:color w:val="605E5C"/>
      <w:shd w:val="clear" w:color="auto" w:fill="E1DFDD"/>
    </w:rPr>
  </w:style>
  <w:style w:type="paragraph" w:styleId="FootnoteText">
    <w:name w:val="footnote text"/>
    <w:basedOn w:val="Normal"/>
    <w:link w:val="FootnoteTextChar"/>
    <w:uiPriority w:val="99"/>
    <w:semiHidden/>
    <w:unhideWhenUsed/>
    <w:rsid w:val="00714859"/>
    <w:rPr>
      <w:sz w:val="20"/>
      <w:szCs w:val="20"/>
    </w:rPr>
  </w:style>
  <w:style w:type="character" w:customStyle="1" w:styleId="FootnoteTextChar">
    <w:name w:val="Footnote Text Char"/>
    <w:basedOn w:val="DefaultParagraphFont"/>
    <w:link w:val="FootnoteText"/>
    <w:uiPriority w:val="99"/>
    <w:semiHidden/>
    <w:rsid w:val="00714859"/>
    <w:rPr>
      <w:rFonts w:ascii="Times New Roman" w:hAnsi="Times New Roman"/>
      <w:sz w:val="20"/>
      <w:szCs w:val="20"/>
    </w:rPr>
  </w:style>
  <w:style w:type="character" w:styleId="FootnoteReference">
    <w:name w:val="footnote reference"/>
    <w:basedOn w:val="DefaultParagraphFont"/>
    <w:uiPriority w:val="99"/>
    <w:semiHidden/>
    <w:unhideWhenUsed/>
    <w:rsid w:val="00714859"/>
    <w:rPr>
      <w:vertAlign w:val="superscript"/>
    </w:rPr>
  </w:style>
  <w:style w:type="paragraph" w:styleId="EndnoteText">
    <w:name w:val="endnote text"/>
    <w:basedOn w:val="Normal"/>
    <w:link w:val="EndnoteTextChar"/>
    <w:uiPriority w:val="99"/>
    <w:semiHidden/>
    <w:unhideWhenUsed/>
    <w:rsid w:val="00714859"/>
    <w:rPr>
      <w:sz w:val="20"/>
      <w:szCs w:val="20"/>
    </w:rPr>
  </w:style>
  <w:style w:type="character" w:customStyle="1" w:styleId="EndnoteTextChar">
    <w:name w:val="Endnote Text Char"/>
    <w:basedOn w:val="DefaultParagraphFont"/>
    <w:link w:val="EndnoteText"/>
    <w:uiPriority w:val="99"/>
    <w:semiHidden/>
    <w:rsid w:val="00714859"/>
    <w:rPr>
      <w:rFonts w:ascii="Times New Roman" w:hAnsi="Times New Roman"/>
      <w:sz w:val="20"/>
      <w:szCs w:val="20"/>
    </w:rPr>
  </w:style>
  <w:style w:type="character" w:styleId="EndnoteReference">
    <w:name w:val="endnote reference"/>
    <w:basedOn w:val="DefaultParagraphFont"/>
    <w:uiPriority w:val="99"/>
    <w:semiHidden/>
    <w:unhideWhenUsed/>
    <w:rsid w:val="00714859"/>
    <w:rPr>
      <w:vertAlign w:val="superscript"/>
    </w:rPr>
  </w:style>
  <w:style w:type="paragraph" w:styleId="Bibliography">
    <w:name w:val="Bibliography"/>
    <w:basedOn w:val="Normal"/>
    <w:next w:val="Normal"/>
    <w:uiPriority w:val="37"/>
    <w:unhideWhenUsed/>
    <w:rsid w:val="0053244D"/>
    <w:pPr>
      <w:ind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33280">
      <w:bodyDiv w:val="1"/>
      <w:marLeft w:val="0"/>
      <w:marRight w:val="0"/>
      <w:marTop w:val="0"/>
      <w:marBottom w:val="0"/>
      <w:divBdr>
        <w:top w:val="none" w:sz="0" w:space="0" w:color="auto"/>
        <w:left w:val="none" w:sz="0" w:space="0" w:color="auto"/>
        <w:bottom w:val="none" w:sz="0" w:space="0" w:color="auto"/>
        <w:right w:val="none" w:sz="0" w:space="0" w:color="auto"/>
      </w:divBdr>
    </w:div>
    <w:div w:id="587884570">
      <w:bodyDiv w:val="1"/>
      <w:marLeft w:val="0"/>
      <w:marRight w:val="0"/>
      <w:marTop w:val="0"/>
      <w:marBottom w:val="0"/>
      <w:divBdr>
        <w:top w:val="none" w:sz="0" w:space="0" w:color="auto"/>
        <w:left w:val="none" w:sz="0" w:space="0" w:color="auto"/>
        <w:bottom w:val="none" w:sz="0" w:space="0" w:color="auto"/>
        <w:right w:val="none" w:sz="0" w:space="0" w:color="auto"/>
      </w:divBdr>
    </w:div>
    <w:div w:id="768965865">
      <w:bodyDiv w:val="1"/>
      <w:marLeft w:val="0"/>
      <w:marRight w:val="0"/>
      <w:marTop w:val="0"/>
      <w:marBottom w:val="0"/>
      <w:divBdr>
        <w:top w:val="none" w:sz="0" w:space="0" w:color="auto"/>
        <w:left w:val="none" w:sz="0" w:space="0" w:color="auto"/>
        <w:bottom w:val="none" w:sz="0" w:space="0" w:color="auto"/>
        <w:right w:val="none" w:sz="0" w:space="0" w:color="auto"/>
      </w:divBdr>
      <w:divsChild>
        <w:div w:id="1079249943">
          <w:marLeft w:val="0"/>
          <w:marRight w:val="0"/>
          <w:marTop w:val="0"/>
          <w:marBottom w:val="0"/>
          <w:divBdr>
            <w:top w:val="none" w:sz="0" w:space="0" w:color="auto"/>
            <w:left w:val="none" w:sz="0" w:space="0" w:color="auto"/>
            <w:bottom w:val="none" w:sz="0" w:space="0" w:color="auto"/>
            <w:right w:val="none" w:sz="0" w:space="0" w:color="auto"/>
          </w:divBdr>
          <w:divsChild>
            <w:div w:id="2133786768">
              <w:marLeft w:val="0"/>
              <w:marRight w:val="0"/>
              <w:marTop w:val="0"/>
              <w:marBottom w:val="0"/>
              <w:divBdr>
                <w:top w:val="none" w:sz="0" w:space="0" w:color="auto"/>
                <w:left w:val="none" w:sz="0" w:space="0" w:color="auto"/>
                <w:bottom w:val="none" w:sz="0" w:space="0" w:color="auto"/>
                <w:right w:val="none" w:sz="0" w:space="0" w:color="auto"/>
              </w:divBdr>
              <w:divsChild>
                <w:div w:id="1123233338">
                  <w:marLeft w:val="0"/>
                  <w:marRight w:val="0"/>
                  <w:marTop w:val="0"/>
                  <w:marBottom w:val="0"/>
                  <w:divBdr>
                    <w:top w:val="none" w:sz="0" w:space="0" w:color="auto"/>
                    <w:left w:val="none" w:sz="0" w:space="0" w:color="auto"/>
                    <w:bottom w:val="none" w:sz="0" w:space="0" w:color="auto"/>
                    <w:right w:val="none" w:sz="0" w:space="0" w:color="auto"/>
                  </w:divBdr>
                </w:div>
              </w:divsChild>
            </w:div>
            <w:div w:id="1278832075">
              <w:marLeft w:val="0"/>
              <w:marRight w:val="0"/>
              <w:marTop w:val="0"/>
              <w:marBottom w:val="0"/>
              <w:divBdr>
                <w:top w:val="none" w:sz="0" w:space="0" w:color="auto"/>
                <w:left w:val="none" w:sz="0" w:space="0" w:color="auto"/>
                <w:bottom w:val="none" w:sz="0" w:space="0" w:color="auto"/>
                <w:right w:val="none" w:sz="0" w:space="0" w:color="auto"/>
              </w:divBdr>
              <w:divsChild>
                <w:div w:id="5965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7712">
          <w:marLeft w:val="0"/>
          <w:marRight w:val="0"/>
          <w:marTop w:val="0"/>
          <w:marBottom w:val="0"/>
          <w:divBdr>
            <w:top w:val="none" w:sz="0" w:space="0" w:color="auto"/>
            <w:left w:val="none" w:sz="0" w:space="0" w:color="auto"/>
            <w:bottom w:val="none" w:sz="0" w:space="0" w:color="auto"/>
            <w:right w:val="none" w:sz="0" w:space="0" w:color="auto"/>
          </w:divBdr>
          <w:divsChild>
            <w:div w:id="602225005">
              <w:marLeft w:val="0"/>
              <w:marRight w:val="0"/>
              <w:marTop w:val="0"/>
              <w:marBottom w:val="0"/>
              <w:divBdr>
                <w:top w:val="none" w:sz="0" w:space="0" w:color="auto"/>
                <w:left w:val="none" w:sz="0" w:space="0" w:color="auto"/>
                <w:bottom w:val="none" w:sz="0" w:space="0" w:color="auto"/>
                <w:right w:val="none" w:sz="0" w:space="0" w:color="auto"/>
              </w:divBdr>
              <w:divsChild>
                <w:div w:id="14184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315">
      <w:bodyDiv w:val="1"/>
      <w:marLeft w:val="0"/>
      <w:marRight w:val="0"/>
      <w:marTop w:val="0"/>
      <w:marBottom w:val="0"/>
      <w:divBdr>
        <w:top w:val="none" w:sz="0" w:space="0" w:color="auto"/>
        <w:left w:val="none" w:sz="0" w:space="0" w:color="auto"/>
        <w:bottom w:val="none" w:sz="0" w:space="0" w:color="auto"/>
        <w:right w:val="none" w:sz="0" w:space="0" w:color="auto"/>
      </w:divBdr>
      <w:divsChild>
        <w:div w:id="1644235835">
          <w:marLeft w:val="0"/>
          <w:marRight w:val="0"/>
          <w:marTop w:val="0"/>
          <w:marBottom w:val="0"/>
          <w:divBdr>
            <w:top w:val="none" w:sz="0" w:space="0" w:color="auto"/>
            <w:left w:val="none" w:sz="0" w:space="0" w:color="auto"/>
            <w:bottom w:val="none" w:sz="0" w:space="0" w:color="auto"/>
            <w:right w:val="none" w:sz="0" w:space="0" w:color="auto"/>
          </w:divBdr>
          <w:divsChild>
            <w:div w:id="1381589979">
              <w:marLeft w:val="0"/>
              <w:marRight w:val="0"/>
              <w:marTop w:val="0"/>
              <w:marBottom w:val="0"/>
              <w:divBdr>
                <w:top w:val="none" w:sz="0" w:space="0" w:color="auto"/>
                <w:left w:val="none" w:sz="0" w:space="0" w:color="auto"/>
                <w:bottom w:val="none" w:sz="0" w:space="0" w:color="auto"/>
                <w:right w:val="none" w:sz="0" w:space="0" w:color="auto"/>
              </w:divBdr>
              <w:divsChild>
                <w:div w:id="6382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8085">
      <w:bodyDiv w:val="1"/>
      <w:marLeft w:val="0"/>
      <w:marRight w:val="0"/>
      <w:marTop w:val="0"/>
      <w:marBottom w:val="0"/>
      <w:divBdr>
        <w:top w:val="none" w:sz="0" w:space="0" w:color="auto"/>
        <w:left w:val="none" w:sz="0" w:space="0" w:color="auto"/>
        <w:bottom w:val="none" w:sz="0" w:space="0" w:color="auto"/>
        <w:right w:val="none" w:sz="0" w:space="0" w:color="auto"/>
      </w:divBdr>
    </w:div>
    <w:div w:id="1111826126">
      <w:bodyDiv w:val="1"/>
      <w:marLeft w:val="0"/>
      <w:marRight w:val="0"/>
      <w:marTop w:val="0"/>
      <w:marBottom w:val="0"/>
      <w:divBdr>
        <w:top w:val="none" w:sz="0" w:space="0" w:color="auto"/>
        <w:left w:val="none" w:sz="0" w:space="0" w:color="auto"/>
        <w:bottom w:val="none" w:sz="0" w:space="0" w:color="auto"/>
        <w:right w:val="none" w:sz="0" w:space="0" w:color="auto"/>
      </w:divBdr>
      <w:divsChild>
        <w:div w:id="1900625763">
          <w:marLeft w:val="0"/>
          <w:marRight w:val="0"/>
          <w:marTop w:val="0"/>
          <w:marBottom w:val="0"/>
          <w:divBdr>
            <w:top w:val="none" w:sz="0" w:space="0" w:color="auto"/>
            <w:left w:val="none" w:sz="0" w:space="0" w:color="auto"/>
            <w:bottom w:val="none" w:sz="0" w:space="0" w:color="auto"/>
            <w:right w:val="none" w:sz="0" w:space="0" w:color="auto"/>
          </w:divBdr>
          <w:divsChild>
            <w:div w:id="668752131">
              <w:marLeft w:val="0"/>
              <w:marRight w:val="0"/>
              <w:marTop w:val="0"/>
              <w:marBottom w:val="0"/>
              <w:divBdr>
                <w:top w:val="none" w:sz="0" w:space="0" w:color="auto"/>
                <w:left w:val="none" w:sz="0" w:space="0" w:color="auto"/>
                <w:bottom w:val="none" w:sz="0" w:space="0" w:color="auto"/>
                <w:right w:val="none" w:sz="0" w:space="0" w:color="auto"/>
              </w:divBdr>
              <w:divsChild>
                <w:div w:id="11303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6327">
      <w:bodyDiv w:val="1"/>
      <w:marLeft w:val="0"/>
      <w:marRight w:val="0"/>
      <w:marTop w:val="0"/>
      <w:marBottom w:val="0"/>
      <w:divBdr>
        <w:top w:val="none" w:sz="0" w:space="0" w:color="auto"/>
        <w:left w:val="none" w:sz="0" w:space="0" w:color="auto"/>
        <w:bottom w:val="none" w:sz="0" w:space="0" w:color="auto"/>
        <w:right w:val="none" w:sz="0" w:space="0" w:color="auto"/>
      </w:divBdr>
      <w:divsChild>
        <w:div w:id="1936471357">
          <w:marLeft w:val="0"/>
          <w:marRight w:val="0"/>
          <w:marTop w:val="0"/>
          <w:marBottom w:val="0"/>
          <w:divBdr>
            <w:top w:val="none" w:sz="0" w:space="0" w:color="auto"/>
            <w:left w:val="none" w:sz="0" w:space="0" w:color="auto"/>
            <w:bottom w:val="none" w:sz="0" w:space="0" w:color="auto"/>
            <w:right w:val="none" w:sz="0" w:space="0" w:color="auto"/>
          </w:divBdr>
          <w:divsChild>
            <w:div w:id="347491702">
              <w:marLeft w:val="0"/>
              <w:marRight w:val="0"/>
              <w:marTop w:val="0"/>
              <w:marBottom w:val="0"/>
              <w:divBdr>
                <w:top w:val="none" w:sz="0" w:space="0" w:color="auto"/>
                <w:left w:val="none" w:sz="0" w:space="0" w:color="auto"/>
                <w:bottom w:val="none" w:sz="0" w:space="0" w:color="auto"/>
                <w:right w:val="none" w:sz="0" w:space="0" w:color="auto"/>
              </w:divBdr>
              <w:divsChild>
                <w:div w:id="12920672">
                  <w:marLeft w:val="0"/>
                  <w:marRight w:val="0"/>
                  <w:marTop w:val="0"/>
                  <w:marBottom w:val="0"/>
                  <w:divBdr>
                    <w:top w:val="none" w:sz="0" w:space="0" w:color="auto"/>
                    <w:left w:val="none" w:sz="0" w:space="0" w:color="auto"/>
                    <w:bottom w:val="none" w:sz="0" w:space="0" w:color="auto"/>
                    <w:right w:val="none" w:sz="0" w:space="0" w:color="auto"/>
                  </w:divBdr>
                </w:div>
              </w:divsChild>
            </w:div>
            <w:div w:id="2006086657">
              <w:marLeft w:val="0"/>
              <w:marRight w:val="0"/>
              <w:marTop w:val="0"/>
              <w:marBottom w:val="0"/>
              <w:divBdr>
                <w:top w:val="none" w:sz="0" w:space="0" w:color="auto"/>
                <w:left w:val="none" w:sz="0" w:space="0" w:color="auto"/>
                <w:bottom w:val="none" w:sz="0" w:space="0" w:color="auto"/>
                <w:right w:val="none" w:sz="0" w:space="0" w:color="auto"/>
              </w:divBdr>
              <w:divsChild>
                <w:div w:id="11199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5302">
          <w:marLeft w:val="0"/>
          <w:marRight w:val="0"/>
          <w:marTop w:val="0"/>
          <w:marBottom w:val="0"/>
          <w:divBdr>
            <w:top w:val="none" w:sz="0" w:space="0" w:color="auto"/>
            <w:left w:val="none" w:sz="0" w:space="0" w:color="auto"/>
            <w:bottom w:val="none" w:sz="0" w:space="0" w:color="auto"/>
            <w:right w:val="none" w:sz="0" w:space="0" w:color="auto"/>
          </w:divBdr>
          <w:divsChild>
            <w:div w:id="615411685">
              <w:marLeft w:val="0"/>
              <w:marRight w:val="0"/>
              <w:marTop w:val="0"/>
              <w:marBottom w:val="0"/>
              <w:divBdr>
                <w:top w:val="none" w:sz="0" w:space="0" w:color="auto"/>
                <w:left w:val="none" w:sz="0" w:space="0" w:color="auto"/>
                <w:bottom w:val="none" w:sz="0" w:space="0" w:color="auto"/>
                <w:right w:val="none" w:sz="0" w:space="0" w:color="auto"/>
              </w:divBdr>
              <w:divsChild>
                <w:div w:id="18783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6220">
      <w:bodyDiv w:val="1"/>
      <w:marLeft w:val="0"/>
      <w:marRight w:val="0"/>
      <w:marTop w:val="0"/>
      <w:marBottom w:val="0"/>
      <w:divBdr>
        <w:top w:val="none" w:sz="0" w:space="0" w:color="auto"/>
        <w:left w:val="none" w:sz="0" w:space="0" w:color="auto"/>
        <w:bottom w:val="none" w:sz="0" w:space="0" w:color="auto"/>
        <w:right w:val="none" w:sz="0" w:space="0" w:color="auto"/>
      </w:divBdr>
      <w:divsChild>
        <w:div w:id="544609921">
          <w:marLeft w:val="0"/>
          <w:marRight w:val="0"/>
          <w:marTop w:val="0"/>
          <w:marBottom w:val="0"/>
          <w:divBdr>
            <w:top w:val="none" w:sz="0" w:space="0" w:color="auto"/>
            <w:left w:val="none" w:sz="0" w:space="0" w:color="auto"/>
            <w:bottom w:val="none" w:sz="0" w:space="0" w:color="auto"/>
            <w:right w:val="none" w:sz="0" w:space="0" w:color="auto"/>
          </w:divBdr>
        </w:div>
      </w:divsChild>
    </w:div>
    <w:div w:id="19619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F6758-C5DC-7C49-A440-7AACEF0B3A2F}">
  <ds:schemaRefs>
    <ds:schemaRef ds:uri="http://schemas.openxmlformats.org/officeDocument/2006/bibliography"/>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2</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Kellogg School of Management</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dc:creator>
  <cp:lastModifiedBy>#DEREK CHANG DING CONG#</cp:lastModifiedBy>
  <cp:revision>69</cp:revision>
  <cp:lastPrinted>2018-01-25T23:09:00Z</cp:lastPrinted>
  <dcterms:created xsi:type="dcterms:W3CDTF">2022-10-24T15:12:00Z</dcterms:created>
  <dcterms:modified xsi:type="dcterms:W3CDTF">2026-05-17T09:41:00Z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zotero-version="9.0.3"&gt;&lt;session id="6vlizDkR"/&gt;&lt;style id="http://www.zotero.org/styles/american-physics-society" hasBibliography="1" bibliographyStyleHasBeenSet="1"/&gt;&lt;prefs&gt;&lt;pref name="fieldType" value="Field"/&gt;&lt;/prefs&gt;&lt;/data&gt;</vt:lpwstr>
  </property>
</Properties>
</file>